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appendix-a-supplies-and-reagents"/>
    <w:p>
      <w:pPr>
        <w:pStyle w:val="Heading1"/>
      </w:pPr>
      <w:r>
        <w:t xml:space="preserve">Appendix A: Supplies and Reagents</w:t>
      </w:r>
    </w:p>
    <w:p>
      <w:pPr>
        <w:pStyle w:val="FirstParagraph"/>
      </w:pPr>
      <w:r>
        <w:t xml:space="preserve">This appendix provides a consolidated checklist of supplies and reagents used across Modules 1 through 8.</w:t>
      </w:r>
    </w:p>
    <w:p>
      <w:pPr>
        <w:pStyle w:val="BlockText"/>
      </w:pPr>
      <w:r>
        <w:rPr>
          <w:b/>
          <w:bCs/>
        </w:rPr>
        <w:t xml:space="preserve">Download:</w:t>
      </w:r>
      <w:r>
        <w:t xml:space="preserve"> </w:t>
      </w:r>
      <w:hyperlink r:id="rId9">
        <w:r>
          <w:rPr>
            <w:rStyle w:val="Hyperlink"/>
          </w:rPr>
          <w:t xml:space="preserve">PDF</w:t>
        </w:r>
      </w:hyperlink>
      <w:r>
        <w:t xml:space="preserve"> </w:t>
      </w:r>
      <w:r>
        <w:t xml:space="preserve">|</w:t>
      </w:r>
      <w:r>
        <w:t xml:space="preserve"> </w:t>
      </w:r>
      <w:hyperlink r:id="rId10">
        <w:r>
          <w:rPr>
            <w:rStyle w:val="Hyperlink"/>
          </w:rPr>
          <w:t xml:space="preserve">Word</w:t>
        </w:r>
      </w:hyperlink>
    </w:p>
    <w:bookmarkStart w:id="11" w:name="core-supplies-and-equipment"/>
    <w:p>
      <w:pPr>
        <w:pStyle w:val="Heading2"/>
      </w:pPr>
      <w:r>
        <w:t xml:space="preserve">Core Supplies and Equipment</w:t>
      </w:r>
    </w:p>
    <w:p>
      <w:pPr>
        <w:pStyle w:val="Compact"/>
        <w:numPr>
          <w:ilvl w:val="0"/>
          <w:numId w:val="1001"/>
        </w:numPr>
      </w:pPr>
      <w:r>
        <w:t xml:space="preserve">Disposable lab coats, nitrile gloves, and safety goggles</w:t>
      </w:r>
    </w:p>
    <w:p>
      <w:pPr>
        <w:pStyle w:val="Compact"/>
        <w:numPr>
          <w:ilvl w:val="0"/>
          <w:numId w:val="1001"/>
        </w:numPr>
      </w:pPr>
      <w:r>
        <w:t xml:space="preserve">Benchtop disinfectant (70% ethanol)</w:t>
      </w:r>
    </w:p>
    <w:p>
      <w:pPr>
        <w:pStyle w:val="Compact"/>
        <w:numPr>
          <w:ilvl w:val="0"/>
          <w:numId w:val="1001"/>
        </w:numPr>
      </w:pPr>
      <w:r>
        <w:t xml:space="preserve">Micropipettes (single channel and multichannel)</w:t>
      </w:r>
    </w:p>
    <w:p>
      <w:pPr>
        <w:pStyle w:val="Compact"/>
        <w:numPr>
          <w:ilvl w:val="0"/>
          <w:numId w:val="1001"/>
        </w:numPr>
      </w:pPr>
      <w:r>
        <w:t xml:space="preserve">Sterile pipette tips (appropriate volumes, preferably filtered)</w:t>
      </w:r>
    </w:p>
    <w:p>
      <w:pPr>
        <w:pStyle w:val="Compact"/>
        <w:numPr>
          <w:ilvl w:val="0"/>
          <w:numId w:val="1001"/>
        </w:numPr>
      </w:pPr>
      <w:r>
        <w:t xml:space="preserve">Sterile reservoirs for multichannel loading</w:t>
      </w:r>
    </w:p>
    <w:p>
      <w:pPr>
        <w:pStyle w:val="Compact"/>
        <w:numPr>
          <w:ilvl w:val="0"/>
          <w:numId w:val="1001"/>
        </w:numPr>
      </w:pPr>
      <w:r>
        <w:t xml:space="preserve">Sterile microcentrifuge tubes and culture tubes</w:t>
      </w:r>
    </w:p>
    <w:p>
      <w:pPr>
        <w:pStyle w:val="Compact"/>
        <w:numPr>
          <w:ilvl w:val="0"/>
          <w:numId w:val="1001"/>
        </w:numPr>
      </w:pPr>
      <w:r>
        <w:t xml:space="preserve">DNA LoBind 1.5 ml microfuge tubes (Eppendorf)</w:t>
      </w:r>
    </w:p>
    <w:p>
      <w:pPr>
        <w:pStyle w:val="Compact"/>
        <w:numPr>
          <w:ilvl w:val="0"/>
          <w:numId w:val="1001"/>
        </w:numPr>
      </w:pPr>
      <w:r>
        <w:t xml:space="preserve">Centrifuge and microcentrifuge</w:t>
      </w:r>
    </w:p>
    <w:p>
      <w:pPr>
        <w:pStyle w:val="Compact"/>
        <w:numPr>
          <w:ilvl w:val="0"/>
          <w:numId w:val="1001"/>
        </w:numPr>
      </w:pPr>
      <w:r>
        <w:t xml:space="preserve">Vortex mixer</w:t>
      </w:r>
    </w:p>
    <w:p>
      <w:pPr>
        <w:pStyle w:val="Compact"/>
        <w:numPr>
          <w:ilvl w:val="0"/>
          <w:numId w:val="1001"/>
        </w:numPr>
      </w:pPr>
      <w:r>
        <w:t xml:space="preserve">Shaking incubator for 30°C and 33°C incubation</w:t>
      </w:r>
    </w:p>
    <w:p>
      <w:pPr>
        <w:pStyle w:val="Compact"/>
        <w:numPr>
          <w:ilvl w:val="0"/>
          <w:numId w:val="1001"/>
        </w:numPr>
      </w:pPr>
      <w:r>
        <w:t xml:space="preserve">Incubator for 30-33°C static cultures and plates</w:t>
      </w:r>
    </w:p>
    <w:p>
      <w:pPr>
        <w:pStyle w:val="Compact"/>
        <w:numPr>
          <w:ilvl w:val="0"/>
          <w:numId w:val="1001"/>
        </w:numPr>
      </w:pPr>
      <w:r>
        <w:t xml:space="preserve">96-well microplates</w:t>
      </w:r>
    </w:p>
    <w:p>
      <w:pPr>
        <w:pStyle w:val="Compact"/>
        <w:numPr>
          <w:ilvl w:val="0"/>
          <w:numId w:val="1001"/>
        </w:numPr>
      </w:pPr>
      <w:r>
        <w:t xml:space="preserve">Breathe-Easy breathable plate seals</w:t>
      </w:r>
    </w:p>
    <w:p>
      <w:pPr>
        <w:pStyle w:val="Compact"/>
        <w:numPr>
          <w:ilvl w:val="0"/>
          <w:numId w:val="1001"/>
        </w:numPr>
      </w:pPr>
      <w:r>
        <w:t xml:space="preserve">Peg-lid biofilm assay plates</w:t>
      </w:r>
    </w:p>
    <w:p>
      <w:pPr>
        <w:pStyle w:val="Compact"/>
        <w:numPr>
          <w:ilvl w:val="0"/>
          <w:numId w:val="1001"/>
        </w:numPr>
      </w:pPr>
      <w:r>
        <w:t xml:space="preserve">Cerillo Duet co-culture plate system</w:t>
      </w:r>
    </w:p>
    <w:p>
      <w:pPr>
        <w:pStyle w:val="Compact"/>
        <w:numPr>
          <w:ilvl w:val="0"/>
          <w:numId w:val="1001"/>
        </w:numPr>
      </w:pPr>
      <w:r>
        <w:t xml:space="preserve">Plate reader (OD600 kinetic and endpoint absorbance)</w:t>
      </w:r>
    </w:p>
    <w:p>
      <w:pPr>
        <w:pStyle w:val="Compact"/>
        <w:numPr>
          <w:ilvl w:val="0"/>
          <w:numId w:val="1001"/>
        </w:numPr>
      </w:pPr>
      <w:r>
        <w:t xml:space="preserve">Invitrogen Qubit fluorometer and assay tubes</w:t>
      </w:r>
    </w:p>
    <w:p>
      <w:pPr>
        <w:pStyle w:val="Compact"/>
        <w:numPr>
          <w:ilvl w:val="0"/>
          <w:numId w:val="1001"/>
        </w:numPr>
      </w:pPr>
      <w:r>
        <w:t xml:space="preserve">Invitrogen Qubit dsDNA HS Assay Kit</w:t>
      </w:r>
    </w:p>
    <w:p>
      <w:pPr>
        <w:pStyle w:val="Compact"/>
        <w:numPr>
          <w:ilvl w:val="0"/>
          <w:numId w:val="1001"/>
        </w:numPr>
      </w:pPr>
      <w:r>
        <w:t xml:space="preserve">Turbidimeter (Biolog Turbidimeter or equivalent)</w:t>
      </w:r>
    </w:p>
    <w:p>
      <w:pPr>
        <w:pStyle w:val="Compact"/>
        <w:numPr>
          <w:ilvl w:val="0"/>
          <w:numId w:val="1001"/>
        </w:numPr>
      </w:pPr>
      <w:r>
        <w:t xml:space="preserve">Sterile loops for colony transfer</w:t>
      </w:r>
    </w:p>
    <w:p>
      <w:pPr>
        <w:pStyle w:val="Compact"/>
        <w:numPr>
          <w:ilvl w:val="0"/>
          <w:numId w:val="1001"/>
        </w:numPr>
      </w:pPr>
      <w:r>
        <w:t xml:space="preserve">Biohazard waste containers</w:t>
      </w:r>
    </w:p>
    <w:bookmarkEnd w:id="11"/>
    <w:bookmarkStart w:id="12" w:name="X7338f70db175ff3b723e106e48c724de74f7d22"/>
    <w:p>
      <w:pPr>
        <w:pStyle w:val="Heading2"/>
      </w:pPr>
      <w:r>
        <w:t xml:space="preserve">Microbiology Media and Biological Materials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Delftia acidovorans</w:t>
      </w:r>
      <w:r>
        <w:t xml:space="preserve"> </w:t>
      </w:r>
      <w:r>
        <w:t xml:space="preserve">isolates and comparison isolates</w:t>
      </w:r>
    </w:p>
    <w:p>
      <w:pPr>
        <w:pStyle w:val="Compact"/>
        <w:numPr>
          <w:ilvl w:val="0"/>
          <w:numId w:val="1002"/>
        </w:numPr>
      </w:pPr>
      <w:r>
        <w:t xml:space="preserve">Tryptic Soy Agar (TSA) plates (Teknova or Hardy Diagnostics))</w:t>
      </w:r>
    </w:p>
    <w:p>
      <w:pPr>
        <w:pStyle w:val="Compact"/>
        <w:numPr>
          <w:ilvl w:val="0"/>
          <w:numId w:val="1002"/>
        </w:numPr>
      </w:pPr>
      <w:r>
        <w:t xml:space="preserve">Tryptic Soy Broth (TSB) for liquid cultures (Teknova or Hardy Diagnostics)</w:t>
      </w:r>
    </w:p>
    <w:p>
      <w:pPr>
        <w:pStyle w:val="Compact"/>
        <w:numPr>
          <w:ilvl w:val="0"/>
          <w:numId w:val="1002"/>
        </w:numPr>
      </w:pPr>
      <w:r>
        <w:t xml:space="preserve">Biolog Blood Universal Growth (BUG) agar</w:t>
      </w:r>
    </w:p>
    <w:p>
      <w:pPr>
        <w:pStyle w:val="Compact"/>
        <w:numPr>
          <w:ilvl w:val="0"/>
          <w:numId w:val="1002"/>
        </w:numPr>
      </w:pPr>
      <w:r>
        <w:t xml:space="preserve">Biolog GEN III Microplates</w:t>
      </w:r>
    </w:p>
    <w:p>
      <w:pPr>
        <w:pStyle w:val="Compact"/>
        <w:numPr>
          <w:ilvl w:val="0"/>
          <w:numId w:val="1002"/>
        </w:numPr>
      </w:pPr>
      <w:r>
        <w:t xml:space="preserve">Biolog IF-A inoculating fluid (for Biolog GEN III assays)</w:t>
      </w:r>
    </w:p>
    <w:p>
      <w:pPr>
        <w:pStyle w:val="Compact"/>
        <w:numPr>
          <w:ilvl w:val="0"/>
          <w:numId w:val="1002"/>
        </w:numPr>
      </w:pPr>
      <w:r>
        <w:t xml:space="preserve">Phosphate-buffered saline (PBS)</w:t>
      </w:r>
    </w:p>
    <w:bookmarkEnd w:id="12"/>
    <w:bookmarkStart w:id="13" w:name="reagents-for-pipetting-and-assay-setup"/>
    <w:p>
      <w:pPr>
        <w:pStyle w:val="Heading2"/>
      </w:pPr>
      <w:r>
        <w:t xml:space="preserve">Reagents for Pipetting and Assay Setup</w:t>
      </w:r>
    </w:p>
    <w:p>
      <w:pPr>
        <w:pStyle w:val="Compact"/>
        <w:numPr>
          <w:ilvl w:val="0"/>
          <w:numId w:val="1003"/>
        </w:numPr>
      </w:pPr>
      <w:r>
        <w:t xml:space="preserve">MiniPCR micropipetting cards</w:t>
      </w:r>
    </w:p>
    <w:p>
      <w:pPr>
        <w:pStyle w:val="Compact"/>
        <w:numPr>
          <w:ilvl w:val="0"/>
          <w:numId w:val="1003"/>
        </w:numPr>
      </w:pPr>
      <w:r>
        <w:t xml:space="preserve">Crystal violet solution (serial dilution activity)</w:t>
      </w:r>
    </w:p>
    <w:p>
      <w:pPr>
        <w:pStyle w:val="Compact"/>
        <w:numPr>
          <w:ilvl w:val="0"/>
          <w:numId w:val="1003"/>
        </w:numPr>
      </w:pPr>
      <w:r>
        <w:t xml:space="preserve">Dyed water solutions (blue, yellow, red food coloring) for volume challenge</w:t>
      </w:r>
    </w:p>
    <w:p>
      <w:pPr>
        <w:pStyle w:val="Compact"/>
        <w:numPr>
          <w:ilvl w:val="0"/>
          <w:numId w:val="1003"/>
        </w:numPr>
      </w:pPr>
      <w:r>
        <w:t xml:space="preserve">Dojindo biofilm viability detection reagent components:</w:t>
      </w:r>
    </w:p>
    <w:p>
      <w:pPr>
        <w:pStyle w:val="Compact"/>
        <w:numPr>
          <w:ilvl w:val="1"/>
          <w:numId w:val="1004"/>
        </w:numPr>
      </w:pPr>
      <w:r>
        <w:t xml:space="preserve">WST solution</w:t>
      </w:r>
    </w:p>
    <w:p>
      <w:pPr>
        <w:pStyle w:val="Compact"/>
        <w:numPr>
          <w:ilvl w:val="1"/>
          <w:numId w:val="1004"/>
        </w:numPr>
      </w:pPr>
      <w:r>
        <w:t xml:space="preserve">Electron mediator reagent</w:t>
      </w:r>
    </w:p>
    <w:p>
      <w:pPr>
        <w:pStyle w:val="Compact"/>
        <w:numPr>
          <w:ilvl w:val="1"/>
          <w:numId w:val="1004"/>
        </w:numPr>
      </w:pPr>
      <w:r>
        <w:t xml:space="preserve">TSB diluent</w:t>
      </w:r>
    </w:p>
    <w:bookmarkEnd w:id="13"/>
    <w:bookmarkStart w:id="14" w:name="dna-extraction-and-sequencing-reagents"/>
    <w:p>
      <w:pPr>
        <w:pStyle w:val="Heading2"/>
      </w:pPr>
      <w:r>
        <w:t xml:space="preserve">DNA Extraction and Sequencing Reagents</w:t>
      </w:r>
    </w:p>
    <w:p>
      <w:pPr>
        <w:pStyle w:val="Compact"/>
        <w:numPr>
          <w:ilvl w:val="0"/>
          <w:numId w:val="1005"/>
        </w:numPr>
      </w:pPr>
      <w:r>
        <w:t xml:space="preserve">TE buffer (Ambion)</w:t>
      </w:r>
    </w:p>
    <w:p>
      <w:pPr>
        <w:pStyle w:val="Compact"/>
        <w:numPr>
          <w:ilvl w:val="0"/>
          <w:numId w:val="1005"/>
        </w:numPr>
      </w:pPr>
      <w:r>
        <w:t xml:space="preserve">Sigma Lysozyme (10 mg/mL in TE; powder form stored at -80°C)</w:t>
      </w:r>
    </w:p>
    <w:p>
      <w:pPr>
        <w:pStyle w:val="Compact"/>
        <w:numPr>
          <w:ilvl w:val="0"/>
          <w:numId w:val="1005"/>
        </w:numPr>
      </w:pPr>
      <w:r>
        <w:t xml:space="preserve">New England Biolabs (NEB) Monarch Proteinase K</w:t>
      </w:r>
    </w:p>
    <w:p>
      <w:pPr>
        <w:pStyle w:val="Compact"/>
        <w:numPr>
          <w:ilvl w:val="0"/>
          <w:numId w:val="1005"/>
        </w:numPr>
      </w:pPr>
      <w:r>
        <w:t xml:space="preserve">New England Biolabs (NEB) Monarch RNase A</w:t>
      </w:r>
    </w:p>
    <w:p>
      <w:pPr>
        <w:pStyle w:val="Compact"/>
        <w:numPr>
          <w:ilvl w:val="0"/>
          <w:numId w:val="1005"/>
        </w:numPr>
      </w:pPr>
      <w:r>
        <w:t xml:space="preserve">CTAB buffer (Promega)</w:t>
      </w:r>
    </w:p>
    <w:p>
      <w:pPr>
        <w:pStyle w:val="Compact"/>
        <w:numPr>
          <w:ilvl w:val="0"/>
          <w:numId w:val="1005"/>
        </w:numPr>
      </w:pPr>
      <w:r>
        <w:t xml:space="preserve">New England Biolabs (NEB) Monarch gDNA Binding Buffer</w:t>
      </w:r>
    </w:p>
    <w:p>
      <w:pPr>
        <w:pStyle w:val="Compact"/>
        <w:numPr>
          <w:ilvl w:val="0"/>
          <w:numId w:val="1005"/>
        </w:numPr>
      </w:pPr>
      <w:r>
        <w:t xml:space="preserve">New England Biolabs (NEB) Monarch wash buffers</w:t>
      </w:r>
    </w:p>
    <w:p>
      <w:pPr>
        <w:pStyle w:val="Compact"/>
        <w:numPr>
          <w:ilvl w:val="0"/>
          <w:numId w:val="1005"/>
        </w:numPr>
      </w:pPr>
      <w:r>
        <w:t xml:space="preserve">New England Biolabs (NEB) Monarch gDNA Elution Buffer</w:t>
      </w:r>
    </w:p>
    <w:p>
      <w:pPr>
        <w:pStyle w:val="Compact"/>
        <w:numPr>
          <w:ilvl w:val="0"/>
          <w:numId w:val="1005"/>
        </w:numPr>
      </w:pPr>
      <w:r>
        <w:t xml:space="preserve">Oxford Nanopore Technologies (ONT) Rapid Barcoding Kit (SQK-RBK114.24)reagents</w:t>
      </w:r>
    </w:p>
    <w:p>
      <w:pPr>
        <w:pStyle w:val="Compact"/>
        <w:numPr>
          <w:ilvl w:val="0"/>
          <w:numId w:val="1005"/>
        </w:numPr>
      </w:pPr>
      <w:r>
        <w:t xml:space="preserve">ONT Flow Cells (FLO-MIN114) and associated reagents for sequencing runs</w:t>
      </w:r>
    </w:p>
    <w:bookmarkEnd w:id="14"/>
    <w:bookmarkStart w:id="15" w:name="computational-and-data-resources"/>
    <w:p>
      <w:pPr>
        <w:pStyle w:val="Heading2"/>
      </w:pPr>
      <w:r>
        <w:t xml:space="preserve">Computational and Data Resources</w:t>
      </w:r>
    </w:p>
    <w:p>
      <w:pPr>
        <w:pStyle w:val="Compact"/>
        <w:numPr>
          <w:ilvl w:val="0"/>
          <w:numId w:val="1006"/>
        </w:numPr>
      </w:pPr>
      <w:r>
        <w:t xml:space="preserve">Electronic lab notebook (ELN)</w:t>
      </w:r>
    </w:p>
    <w:p>
      <w:pPr>
        <w:pStyle w:val="Compact"/>
        <w:numPr>
          <w:ilvl w:val="0"/>
          <w:numId w:val="1006"/>
        </w:numPr>
      </w:pPr>
      <w:r>
        <w:t xml:space="preserve">Quarto for workbook rendering</w:t>
      </w:r>
    </w:p>
    <w:p>
      <w:pPr>
        <w:pStyle w:val="Compact"/>
        <w:numPr>
          <w:ilvl w:val="0"/>
          <w:numId w:val="1006"/>
        </w:numPr>
      </w:pPr>
      <w:r>
        <w:t xml:space="preserve">BV-BRC.org account and workspace for assembly and annotation workflows</w:t>
      </w:r>
    </w:p>
    <w:p>
      <w:pPr>
        <w:pStyle w:val="Compact"/>
        <w:numPr>
          <w:ilvl w:val="0"/>
          <w:numId w:val="1006"/>
        </w:numPr>
      </w:pPr>
      <w:r>
        <w:t xml:space="preserve">SeqHub.org for genome exploration</w:t>
      </w:r>
    </w:p>
    <w:bookmarkEnd w:id="15"/>
    <w:bookmarkStart w:id="16" w:name="notes"/>
    <w:p>
      <w:pPr>
        <w:pStyle w:val="Heading2"/>
      </w:pPr>
      <w:r>
        <w:t xml:space="preserve">Notes</w:t>
      </w:r>
    </w:p>
    <w:p>
      <w:pPr>
        <w:pStyle w:val="Compact"/>
        <w:numPr>
          <w:ilvl w:val="0"/>
          <w:numId w:val="1007"/>
        </w:numPr>
      </w:pPr>
      <w:r>
        <w:t xml:space="preserve">Prepare all sterile materials in advance and confirm lot numbers where required.</w:t>
      </w:r>
    </w:p>
    <w:p>
      <w:pPr>
        <w:pStyle w:val="Compact"/>
        <w:numPr>
          <w:ilvl w:val="0"/>
          <w:numId w:val="1007"/>
        </w:numPr>
      </w:pPr>
      <w:r>
        <w:t xml:space="preserve">Record any reagent substitutions, concentration changes, or protocol deviations in the ELN.</w:t>
      </w:r>
    </w:p>
    <w:p>
      <w:pPr>
        <w:pStyle w:val="Compact"/>
        <w:numPr>
          <w:ilvl w:val="0"/>
          <w:numId w:val="1007"/>
        </w:numPr>
      </w:pPr>
      <w:r>
        <w:t xml:space="preserve">Follow institutional biosafety and chemical safety policies at all times.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appendix-supplies-reagents.docx" TargetMode="External" /><Relationship Type="http://schemas.openxmlformats.org/officeDocument/2006/relationships/hyperlink" Id="rId9" Target="appendix-supplies-reagents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appendix-supplies-reagents.docx" TargetMode="External" /><Relationship Type="http://schemas.openxmlformats.org/officeDocument/2006/relationships/hyperlink" Id="rId9" Target="appendix-supplies-reagents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2026-04-25T02:40:12Z</dcterms:created>
  <dcterms:modified xsi:type="dcterms:W3CDTF">2026-04-25T02:40:12Z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